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D7C" w:rsidRDefault="00494583" w:rsidP="0034043A">
      <w:pPr>
        <w:pStyle w:val="20"/>
        <w:shd w:val="clear" w:color="auto" w:fill="auto"/>
        <w:ind w:firstLine="360"/>
      </w:pPr>
      <w:r>
        <w:t>ДЕПАРТАМЕНТ ПО УПРАВЛЕНИЮ ГОСУДАРСТВЕННОЙ СОБСТВЕННОСТЬЮ ТОМСКОЙ ОБЛАСТИ</w:t>
      </w:r>
      <w:r w:rsidR="0034043A">
        <w:t xml:space="preserve">, </w:t>
      </w:r>
      <w:r>
        <w:t xml:space="preserve">рассмотрев итоги контрольного мероприятия «Проверка эффективности деятельности ОАО «Медтехника» за 2012 год, в том числе полнота перечисления дивидендов в областной бюджет» (письмо Контрольно-счетной </w:t>
      </w:r>
      <w:r>
        <w:t>палаты Томской области от</w:t>
      </w:r>
      <w:r w:rsidR="0034043A">
        <w:t xml:space="preserve"> </w:t>
      </w:r>
      <w:r>
        <w:t>№ 03-415/1 (далее - письмо № 03-415/1)), сообщает</w:t>
      </w:r>
      <w:r w:rsidR="0034043A">
        <w:t>:</w:t>
      </w:r>
    </w:p>
    <w:p w:rsidR="00D76D7C" w:rsidRDefault="00494583" w:rsidP="0034043A">
      <w:pPr>
        <w:pStyle w:val="21"/>
        <w:shd w:val="clear" w:color="auto" w:fill="auto"/>
        <w:ind w:firstLine="360"/>
        <w:jc w:val="both"/>
      </w:pPr>
      <w:r>
        <w:rPr>
          <w:rStyle w:val="a5"/>
        </w:rPr>
        <w:t>По пункту 1 письма № 03-415/1.</w:t>
      </w:r>
      <w:r>
        <w:t xml:space="preserve"> </w:t>
      </w:r>
      <w:proofErr w:type="gramStart"/>
      <w:r>
        <w:t>В настоящее время подготовлен проект распоряжения Администрации Томской области «О внесении изменений в распоряжение Администрации Томской области о</w:t>
      </w:r>
      <w:r>
        <w:t>т 20.01.2010 № 34-ра «Об обеспечении поступлений в областной бюджет неналоговых доходов» с учетом положений распоряжения Правительства Российской Федерации от 29.05.2006 № 774-р с рекомендациями лицам, осуществляющим в установленном порядке права акционера</w:t>
      </w:r>
      <w:r>
        <w:t xml:space="preserve"> (участника) хозяйственных обществ, в уставном капитале которых доля Томской области составляет более 51</w:t>
      </w:r>
      <w:proofErr w:type="gramEnd"/>
      <w:r>
        <w:t xml:space="preserve"> процента, при решении вопроса о распределении прибыли направлять на выплату дивидендов не менее 25 % чистой прибыли, а также прибыли, не распределенной</w:t>
      </w:r>
      <w:r>
        <w:t xml:space="preserve"> на финансирование инвестиционных проектов и иные цели. При этом, считаем целесообразным с учетом опыта российских регионов, сформировать дивидендную политику Томской области как акционера (участника) хозяйственных обществ, учитывающую, в том числе их инве</w:t>
      </w:r>
      <w:r>
        <w:t>стиционную деятельность. Проект данного документа в ближайшее время будет направлен на согласование структурным подразделениям Администрации Томской области, исполнительным органам государственной власти Томской области.</w:t>
      </w:r>
    </w:p>
    <w:p w:rsidR="00D76D7C" w:rsidRDefault="00494583" w:rsidP="0034043A">
      <w:pPr>
        <w:pStyle w:val="21"/>
        <w:shd w:val="clear" w:color="auto" w:fill="auto"/>
        <w:spacing w:line="293" w:lineRule="exact"/>
        <w:ind w:firstLine="360"/>
        <w:jc w:val="both"/>
      </w:pPr>
      <w:r>
        <w:rPr>
          <w:rStyle w:val="a5"/>
        </w:rPr>
        <w:t>По пункту 2 письма № 03-415/1.</w:t>
      </w:r>
      <w:r>
        <w:t xml:space="preserve"> В на</w:t>
      </w:r>
      <w:r>
        <w:t xml:space="preserve">стоящее время Положение о генеральном директоре ОАО «Медтехника» (далее - Общество), предусмотренного п. 8.4. Устава, находится в стадии разработки. Утверждение данного документа </w:t>
      </w:r>
      <w:proofErr w:type="spellStart"/>
      <w:r>
        <w:t>Общйм</w:t>
      </w:r>
      <w:proofErr w:type="spellEnd"/>
      <w:r>
        <w:t xml:space="preserve"> собранием акционеров планируется до 16.09.2013.</w:t>
      </w:r>
    </w:p>
    <w:p w:rsidR="00D76D7C" w:rsidRDefault="00494583" w:rsidP="0034043A">
      <w:pPr>
        <w:pStyle w:val="21"/>
        <w:shd w:val="clear" w:color="auto" w:fill="auto"/>
        <w:ind w:firstLine="360"/>
        <w:jc w:val="both"/>
      </w:pPr>
      <w:proofErr w:type="gramStart"/>
      <w:r>
        <w:rPr>
          <w:rStyle w:val="a5"/>
        </w:rPr>
        <w:t xml:space="preserve">По пункту 3 письма № </w:t>
      </w:r>
      <w:r>
        <w:rPr>
          <w:rStyle w:val="a5"/>
        </w:rPr>
        <w:t>03-415/1.</w:t>
      </w:r>
      <w:r>
        <w:t xml:space="preserve"> 12.07.2013 Распоряжением Департамента по управлению государственной собственностью Томской области (№ 539) на должность генерального директора Общества на период 15.07.2013 - 15.07.2016 назначен Уманский О.С. 12.07.2013 Советом директоров Обществ</w:t>
      </w:r>
      <w:r>
        <w:t>а согласован трудовой договор с руководителем Общества на указанный период с учетом Ваших замечаний, установленных в ходе контрольного мероприятия.</w:t>
      </w:r>
      <w:proofErr w:type="gramEnd"/>
    </w:p>
    <w:p w:rsidR="00D76D7C" w:rsidRDefault="00494583" w:rsidP="001C26E9">
      <w:pPr>
        <w:pStyle w:val="21"/>
        <w:shd w:val="clear" w:color="auto" w:fill="auto"/>
        <w:spacing w:line="260" w:lineRule="exact"/>
        <w:ind w:firstLine="360"/>
        <w:jc w:val="both"/>
      </w:pPr>
      <w:r>
        <w:t>Раздел трудового договора, устанавливающий условия оплаты труда изложен в</w:t>
      </w:r>
      <w:r w:rsidR="001C26E9">
        <w:t xml:space="preserve"> </w:t>
      </w:r>
      <w:r>
        <w:t>следующей редакции:</w:t>
      </w:r>
    </w:p>
    <w:p w:rsidR="00D76D7C" w:rsidRDefault="00494583" w:rsidP="001C26E9">
      <w:pPr>
        <w:pStyle w:val="21"/>
        <w:shd w:val="clear" w:color="auto" w:fill="auto"/>
        <w:spacing w:line="260" w:lineRule="exact"/>
      </w:pPr>
      <w:r>
        <w:t>«3.1.Оплата тр</w:t>
      </w:r>
      <w:r>
        <w:t>уда Руководителя осуществляется в соответствии с его</w:t>
      </w:r>
      <w:r w:rsidR="001C26E9">
        <w:t xml:space="preserve"> </w:t>
      </w:r>
      <w:r>
        <w:t>количеством,</w:t>
      </w:r>
      <w:r w:rsidR="001C26E9">
        <w:t xml:space="preserve"> к</w:t>
      </w:r>
      <w:r>
        <w:t>ачеством и конечными результатами.</w:t>
      </w:r>
    </w:p>
    <w:p w:rsidR="00D76D7C" w:rsidRDefault="00494583" w:rsidP="0034043A">
      <w:pPr>
        <w:pStyle w:val="21"/>
        <w:numPr>
          <w:ilvl w:val="0"/>
          <w:numId w:val="2"/>
        </w:numPr>
        <w:shd w:val="clear" w:color="auto" w:fill="auto"/>
        <w:tabs>
          <w:tab w:val="left" w:pos="1168"/>
        </w:tabs>
        <w:spacing w:line="269" w:lineRule="exact"/>
        <w:ind w:firstLine="360"/>
        <w:jc w:val="both"/>
      </w:pPr>
      <w:r>
        <w:t xml:space="preserve">Оплата труда Руководителя состоит из должностного оклада (на который начисляется районный коэффициент в размере 30%) и вознаграждения за </w:t>
      </w:r>
      <w:proofErr w:type="spellStart"/>
      <w:r>
        <w:t>финансово</w:t>
      </w:r>
      <w:r>
        <w:softHyphen/>
        <w:t>хозяйст</w:t>
      </w:r>
      <w:r>
        <w:t>венные</w:t>
      </w:r>
      <w:proofErr w:type="spellEnd"/>
      <w:r>
        <w:t xml:space="preserve"> результаты деятельности Общества.</w:t>
      </w:r>
    </w:p>
    <w:p w:rsidR="00D76D7C" w:rsidRDefault="00494583" w:rsidP="0034043A">
      <w:pPr>
        <w:pStyle w:val="21"/>
        <w:numPr>
          <w:ilvl w:val="0"/>
          <w:numId w:val="2"/>
        </w:numPr>
        <w:shd w:val="clear" w:color="auto" w:fill="auto"/>
        <w:tabs>
          <w:tab w:val="left" w:pos="1158"/>
        </w:tabs>
        <w:spacing w:line="269" w:lineRule="exact"/>
        <w:ind w:firstLine="360"/>
        <w:jc w:val="both"/>
      </w:pPr>
      <w:r>
        <w:t>Руководителю устанавливается должностной оклад в размере 20000 (двадцать тысяч) рублей в месяц без учета районного коэффициента.</w:t>
      </w:r>
    </w:p>
    <w:p w:rsidR="00D76D7C" w:rsidRDefault="00494583" w:rsidP="0034043A">
      <w:pPr>
        <w:pStyle w:val="21"/>
        <w:numPr>
          <w:ilvl w:val="0"/>
          <w:numId w:val="2"/>
        </w:numPr>
        <w:shd w:val="clear" w:color="auto" w:fill="auto"/>
        <w:tabs>
          <w:tab w:val="left" w:pos="1427"/>
        </w:tabs>
        <w:spacing w:line="269" w:lineRule="exact"/>
        <w:ind w:firstLine="360"/>
        <w:jc w:val="both"/>
      </w:pPr>
      <w:r>
        <w:t>По результатам работы Общества Руководителю выплачивается вознаграждение по результата</w:t>
      </w:r>
      <w:r>
        <w:t>м финансово-хозяйственной деятельности Общества.</w:t>
      </w:r>
    </w:p>
    <w:p w:rsidR="00D76D7C" w:rsidRDefault="00494583" w:rsidP="0034043A">
      <w:pPr>
        <w:pStyle w:val="21"/>
        <w:shd w:val="clear" w:color="auto" w:fill="auto"/>
        <w:spacing w:line="269" w:lineRule="exact"/>
        <w:ind w:firstLine="360"/>
        <w:jc w:val="both"/>
      </w:pPr>
      <w:proofErr w:type="gramStart"/>
      <w:r>
        <w:t>Сумма вознаграждения по результатам финансово-хозяйственной деятельности Общества устанавливается в размере 7% и рассчитывается от финансового результата деятельности Общества по итогам квартала (строка 2400</w:t>
      </w:r>
      <w:r>
        <w:t xml:space="preserve"> Отчета о финансовых результатах, утвержденного Приказом Минфина России от 02.07.2010 № 66н «О формах бухгалтерской отчетности организаций») за квартал, полугодие, 9 месяцев, год (с учетом сумм вознаграждений, выплаченных за предыдущие отчетные периоды тек</w:t>
      </w:r>
      <w:r>
        <w:t>ущего года).</w:t>
      </w:r>
      <w:proofErr w:type="gramEnd"/>
      <w:r>
        <w:t xml:space="preserve"> Вознаграждение выплачивается за счет средств, направленных на пополнение оборотных средств Общества по итогам деятельности за предыдущий год.</w:t>
      </w:r>
    </w:p>
    <w:p w:rsidR="00D76D7C" w:rsidRDefault="00494583" w:rsidP="0034043A">
      <w:pPr>
        <w:pStyle w:val="21"/>
        <w:numPr>
          <w:ilvl w:val="0"/>
          <w:numId w:val="2"/>
        </w:numPr>
        <w:shd w:val="clear" w:color="auto" w:fill="auto"/>
        <w:tabs>
          <w:tab w:val="left" w:pos="1182"/>
        </w:tabs>
        <w:spacing w:line="269" w:lineRule="exact"/>
        <w:ind w:firstLine="360"/>
        <w:jc w:val="both"/>
      </w:pPr>
      <w:r>
        <w:t>Вознаграждение Руководителю Общества выплачивается ежеквартально.</w:t>
      </w:r>
    </w:p>
    <w:p w:rsidR="00D76D7C" w:rsidRDefault="00494583" w:rsidP="0034043A">
      <w:pPr>
        <w:pStyle w:val="21"/>
        <w:numPr>
          <w:ilvl w:val="0"/>
          <w:numId w:val="2"/>
        </w:numPr>
        <w:shd w:val="clear" w:color="auto" w:fill="auto"/>
        <w:tabs>
          <w:tab w:val="left" w:pos="1274"/>
        </w:tabs>
        <w:spacing w:line="269" w:lineRule="exact"/>
        <w:ind w:firstLine="360"/>
        <w:jc w:val="both"/>
      </w:pPr>
      <w:r>
        <w:lastRenderedPageBreak/>
        <w:t xml:space="preserve">В случае досрочного расторжения </w:t>
      </w:r>
      <w:r>
        <w:t>настоящего договора на основании пункта 2 статьи 278 Трудового кодекса Российской Федерации Руководителю в соответствии со статьей 279 Трудового кодекса Российской Федерации выплачивается компенсация за досрочное расторжение договора в размере пяти должнос</w:t>
      </w:r>
      <w:r>
        <w:t>тных окладов. Выплата данной компенсации осуществляется при отсутствии виновных действий (бездействия) Руководителя</w:t>
      </w:r>
      <w:proofErr w:type="gramStart"/>
      <w:r>
        <w:t>.».</w:t>
      </w:r>
      <w:proofErr w:type="gramEnd"/>
    </w:p>
    <w:p w:rsidR="00D76D7C" w:rsidRDefault="00494583" w:rsidP="0034043A">
      <w:pPr>
        <w:pStyle w:val="21"/>
        <w:shd w:val="clear" w:color="auto" w:fill="auto"/>
        <w:ind w:firstLine="360"/>
        <w:jc w:val="both"/>
      </w:pPr>
      <w:r>
        <w:rPr>
          <w:rStyle w:val="a5"/>
        </w:rPr>
        <w:t>По пункту 4 письма № 03-415/1</w:t>
      </w:r>
      <w:r>
        <w:t xml:space="preserve"> в части «...Обществом соблюдены не все условия для осуществления в течение 2012 года авансовых выплат по во</w:t>
      </w:r>
      <w:r>
        <w:t>знаграждению генерального директора, в связи с этим существуют риски непризнания расходов по указанным выплатам (с учетом страховых взносов - 140,3 тыс. рублей) при налогообложении прибыли ОАО «Медтехника».</w:t>
      </w:r>
    </w:p>
    <w:p w:rsidR="00D76D7C" w:rsidRDefault="00494583" w:rsidP="0034043A">
      <w:pPr>
        <w:pStyle w:val="21"/>
        <w:shd w:val="clear" w:color="auto" w:fill="auto"/>
        <w:ind w:firstLine="360"/>
        <w:jc w:val="both"/>
      </w:pPr>
      <w:r>
        <w:t>Принимая во внимание отмеченные риски непризнания</w:t>
      </w:r>
      <w:r>
        <w:t xml:space="preserve"> расходов по указанным выплатам, в решении акционера по распределению прибыли Общества по результатам финансового года, начиная с 2013 года (по итогам деятельности 2012 года), сумма средств на выплату генеральному директору по условиям заключенного с ним т</w:t>
      </w:r>
      <w:r>
        <w:t>рудового договора выделяется отдельной строкой.</w:t>
      </w:r>
    </w:p>
    <w:p w:rsidR="00D76D7C" w:rsidRDefault="00494583" w:rsidP="0034043A">
      <w:pPr>
        <w:pStyle w:val="21"/>
        <w:shd w:val="clear" w:color="auto" w:fill="auto"/>
        <w:ind w:firstLine="360"/>
        <w:jc w:val="both"/>
      </w:pPr>
      <w:r>
        <w:t xml:space="preserve">Кроме того, замечание учтено при составлении проекта трудового договора с генеральным директором на 2013-2016 год, в котором более детально прописаны порядок выплаты вознаграждения и источник финансирования. </w:t>
      </w:r>
      <w:r>
        <w:t>Более подробно данная информация отражена в комментариях к пункту 3 письма № 03-415/1.</w:t>
      </w:r>
    </w:p>
    <w:p w:rsidR="00D76D7C" w:rsidRDefault="00494583" w:rsidP="0034043A">
      <w:pPr>
        <w:pStyle w:val="60"/>
        <w:shd w:val="clear" w:color="auto" w:fill="auto"/>
        <w:spacing w:line="260" w:lineRule="exact"/>
        <w:ind w:firstLine="360"/>
      </w:pPr>
      <w:r>
        <w:t>По пункту 5 письма № 03-415/1</w:t>
      </w:r>
      <w:r>
        <w:rPr>
          <w:rStyle w:val="61"/>
        </w:rPr>
        <w:t xml:space="preserve"> в части замечаний </w:t>
      </w:r>
      <w:proofErr w:type="gramStart"/>
      <w:r>
        <w:rPr>
          <w:rStyle w:val="61"/>
        </w:rPr>
        <w:t>по</w:t>
      </w:r>
      <w:proofErr w:type="gramEnd"/>
      <w:r>
        <w:rPr>
          <w:rStyle w:val="61"/>
        </w:rPr>
        <w:t>:</w:t>
      </w:r>
    </w:p>
    <w:p w:rsidR="00D76D7C" w:rsidRDefault="00494583" w:rsidP="0034043A">
      <w:pPr>
        <w:pStyle w:val="21"/>
        <w:numPr>
          <w:ilvl w:val="0"/>
          <w:numId w:val="3"/>
        </w:numPr>
        <w:shd w:val="clear" w:color="auto" w:fill="auto"/>
        <w:tabs>
          <w:tab w:val="left" w:pos="1062"/>
        </w:tabs>
        <w:spacing w:line="288" w:lineRule="exact"/>
        <w:ind w:firstLine="360"/>
        <w:jc w:val="both"/>
      </w:pPr>
      <w:r>
        <w:t xml:space="preserve">Актуализации и анализу результатов выполнения плана </w:t>
      </w:r>
      <w:proofErr w:type="spellStart"/>
      <w:r>
        <w:t>финансово</w:t>
      </w:r>
      <w:r>
        <w:softHyphen/>
        <w:t>хозяйственной</w:t>
      </w:r>
      <w:proofErr w:type="spellEnd"/>
      <w:r>
        <w:t xml:space="preserve"> деятельности Общества, сформированного в </w:t>
      </w:r>
      <w:r>
        <w:t>2010 году, в рамках</w:t>
      </w:r>
    </w:p>
    <w:p w:rsidR="00D76D7C" w:rsidRDefault="00494583" w:rsidP="0034043A">
      <w:pPr>
        <w:pStyle w:val="21"/>
        <w:shd w:val="clear" w:color="auto" w:fill="auto"/>
        <w:spacing w:line="245" w:lineRule="exact"/>
        <w:jc w:val="both"/>
      </w:pPr>
      <w:r>
        <w:t xml:space="preserve">формирования </w:t>
      </w:r>
      <w:proofErr w:type="gramStart"/>
      <w:r>
        <w:t>Плана развития государственного сектора экономики Томской области</w:t>
      </w:r>
      <w:proofErr w:type="gramEnd"/>
      <w:r>
        <w:t xml:space="preserve"> до 2013 года.</w:t>
      </w:r>
    </w:p>
    <w:p w:rsidR="00D76D7C" w:rsidRDefault="00494583" w:rsidP="0034043A">
      <w:pPr>
        <w:pStyle w:val="21"/>
        <w:shd w:val="clear" w:color="auto" w:fill="auto"/>
        <w:spacing w:line="293" w:lineRule="exact"/>
        <w:jc w:val="both"/>
      </w:pPr>
      <w:r>
        <w:t>Планируется провести анализ выполнения Обществом показателей Плана его финансово-хозяйственной деятельности на 2010-2013 годы с уточнением ожид</w:t>
      </w:r>
      <w:r>
        <w:t>аемых</w:t>
      </w:r>
    </w:p>
    <w:p w:rsidR="00D76D7C" w:rsidRDefault="00494583" w:rsidP="0034043A">
      <w:pPr>
        <w:pStyle w:val="21"/>
        <w:shd w:val="clear" w:color="auto" w:fill="auto"/>
        <w:spacing w:line="302" w:lineRule="exact"/>
        <w:jc w:val="both"/>
      </w:pPr>
      <w:r>
        <w:t xml:space="preserve">показателей по итогам 2013 года и рассмотреть вопрос по корректировке Плана на </w:t>
      </w:r>
      <w:proofErr w:type="gramStart"/>
      <w:r>
        <w:t>заседании</w:t>
      </w:r>
      <w:proofErr w:type="gramEnd"/>
      <w:r>
        <w:t xml:space="preserve"> Совета директоров до 16 сентября </w:t>
      </w:r>
      <w:proofErr w:type="spellStart"/>
      <w:r>
        <w:t>т.г</w:t>
      </w:r>
      <w:proofErr w:type="spellEnd"/>
      <w:r>
        <w:t>., а также сформировать прогнозные показатели финансово-хозяйственной деятельности Общества на 2014-2016 годы.</w:t>
      </w:r>
    </w:p>
    <w:p w:rsidR="00D76D7C" w:rsidRDefault="00494583" w:rsidP="0034043A">
      <w:pPr>
        <w:pStyle w:val="21"/>
        <w:shd w:val="clear" w:color="auto" w:fill="auto"/>
        <w:ind w:firstLine="360"/>
        <w:jc w:val="both"/>
      </w:pPr>
      <w:r>
        <w:rPr>
          <w:rStyle w:val="a5"/>
        </w:rPr>
        <w:t>По пункту 6 письма № 03-415/1.</w:t>
      </w:r>
      <w:r>
        <w:t xml:space="preserve"> Вопросы эффективного функционирования и устойчивости работы ОАО «Медтехника», планирования его деятельности и анализ результатов рассматривались ежегодно при анализе и утверждении годовых отчет</w:t>
      </w:r>
      <w:r>
        <w:t>ов и годовой бухгалтерской (финансовой) отчетности Общества.</w:t>
      </w:r>
    </w:p>
    <w:p w:rsidR="00D76D7C" w:rsidRDefault="00494583" w:rsidP="0034043A">
      <w:pPr>
        <w:pStyle w:val="21"/>
        <w:shd w:val="clear" w:color="auto" w:fill="auto"/>
        <w:ind w:firstLine="360"/>
        <w:jc w:val="both"/>
      </w:pPr>
      <w:r>
        <w:t>В целом, анализируя замечания пунктов 5 и 6 письма № 03-415/1 и опираясь на практический опыт управления хозяйственными обществами, считаем целесообразным формирование стратегий развития хозяйств</w:t>
      </w:r>
      <w:r>
        <w:t>енных обществ с государственным участием, а также подробных программ финансово-хозяйственной деятельности на среднесрочный период. Соответствующие предложения планируется в ближайшее время направить отраслевым департаментам. Опираясь на их мнение, предпола</w:t>
      </w:r>
      <w:r>
        <w:t>гается рассмотреть вопрос о целесообразности подготовки соответствующего нормативного правового акта.</w:t>
      </w:r>
    </w:p>
    <w:p w:rsidR="00D76D7C" w:rsidRDefault="00494583" w:rsidP="0034043A">
      <w:pPr>
        <w:pStyle w:val="21"/>
        <w:shd w:val="clear" w:color="auto" w:fill="auto"/>
        <w:ind w:firstLine="360"/>
        <w:jc w:val="both"/>
      </w:pPr>
      <w:r>
        <w:rPr>
          <w:rStyle w:val="a5"/>
        </w:rPr>
        <w:t>По пункту 7 письма № 03-415/1.</w:t>
      </w:r>
      <w:r>
        <w:t xml:space="preserve"> </w:t>
      </w:r>
      <w:proofErr w:type="gramStart"/>
      <w:r>
        <w:t>По информации Общества (письмо от</w:t>
      </w:r>
      <w:proofErr w:type="gramEnd"/>
    </w:p>
    <w:p w:rsidR="00D76D7C" w:rsidRDefault="00494583" w:rsidP="0034043A">
      <w:pPr>
        <w:pStyle w:val="21"/>
        <w:numPr>
          <w:ilvl w:val="0"/>
          <w:numId w:val="4"/>
        </w:numPr>
        <w:shd w:val="clear" w:color="auto" w:fill="auto"/>
        <w:tabs>
          <w:tab w:val="left" w:pos="1417"/>
        </w:tabs>
        <w:jc w:val="both"/>
      </w:pPr>
      <w:proofErr w:type="gramStart"/>
      <w:r>
        <w:t>№ МТ-1523) на момент проведения контрольного мероприятия Контрольно-счетной палатой Томск</w:t>
      </w:r>
      <w:r>
        <w:t>ой области локальный нормативный документ, устанавливающий ценовую политику Общества, отсутствовал, поскольку данный документ не является обязательным для ведения финансово-хозяйственной деятельности.</w:t>
      </w:r>
      <w:proofErr w:type="gramEnd"/>
      <w:r>
        <w:t xml:space="preserve"> Основная в стоимостном выражении часть товаров реализуе</w:t>
      </w:r>
      <w:r>
        <w:t xml:space="preserve">тся Обществом лечебным учреждениям через участие в торгах (конкурсы, аукционы, запросы котировок). Решение по определению цены принимается при этом отдельно в каждом конкретном случае в связи с тем, что начальная (максимальная) цена закупки </w:t>
      </w:r>
      <w:r>
        <w:lastRenderedPageBreak/>
        <w:t xml:space="preserve">определяется в </w:t>
      </w:r>
      <w:r>
        <w:t xml:space="preserve">таких случаях покупателем с учетом необходимых ему условий поставки. </w:t>
      </w:r>
      <w:proofErr w:type="gramStart"/>
      <w:r>
        <w:t>Формулируя цену поставки, Общество вынуждено учитывать такие переменные и индивидуальные для каждой закупки факторы, как комплектность, место и сроки поставки, порядок оплаты товара заказ</w:t>
      </w:r>
      <w:r>
        <w:t>чиком и условия расчета с поставщиками, сумма и сроки обеспечения исполнения контракта, срок гарантии, необходимость монтажа и технического обслуживания в гарантийный период, необходимость специального обучения медперсонала и сервисных специалистов и т.п.</w:t>
      </w:r>
      <w:proofErr w:type="gramEnd"/>
    </w:p>
    <w:p w:rsidR="00D76D7C" w:rsidRDefault="00494583" w:rsidP="0034043A">
      <w:pPr>
        <w:pStyle w:val="21"/>
        <w:shd w:val="clear" w:color="auto" w:fill="auto"/>
        <w:spacing w:line="302" w:lineRule="exact"/>
        <w:ind w:firstLine="360"/>
        <w:jc w:val="both"/>
      </w:pPr>
      <w:r>
        <w:t>В настоящее время Обществом разрабатывается локальный нормативный акт - регламент ценовой политики предприятия с отражением в нем общих подходов и методики установления цены на товары, а также методики внутреннего контроля порядка фо</w:t>
      </w:r>
      <w:r>
        <w:t>рмирования торговых наценок. Данный регламент планируется разработать и утвердить до 16.09.2013.</w:t>
      </w:r>
    </w:p>
    <w:p w:rsidR="001C26E9" w:rsidRDefault="001C26E9" w:rsidP="0034043A">
      <w:pPr>
        <w:pStyle w:val="21"/>
        <w:shd w:val="clear" w:color="auto" w:fill="auto"/>
        <w:spacing w:line="302" w:lineRule="exact"/>
        <w:ind w:firstLine="360"/>
        <w:jc w:val="both"/>
      </w:pPr>
    </w:p>
    <w:p w:rsidR="001C26E9" w:rsidRDefault="001C26E9" w:rsidP="0034043A">
      <w:pPr>
        <w:pStyle w:val="21"/>
        <w:shd w:val="clear" w:color="auto" w:fill="auto"/>
        <w:spacing w:line="302" w:lineRule="exact"/>
        <w:ind w:firstLine="360"/>
        <w:jc w:val="both"/>
      </w:pPr>
    </w:p>
    <w:p w:rsidR="001C26E9" w:rsidRDefault="001C26E9" w:rsidP="0034043A">
      <w:pPr>
        <w:pStyle w:val="21"/>
        <w:shd w:val="clear" w:color="auto" w:fill="auto"/>
        <w:spacing w:line="302" w:lineRule="exact"/>
        <w:ind w:firstLine="360"/>
        <w:jc w:val="both"/>
      </w:pPr>
    </w:p>
    <w:p w:rsidR="0034043A" w:rsidRDefault="0034043A" w:rsidP="0034043A">
      <w:pPr>
        <w:pStyle w:val="21"/>
        <w:shd w:val="clear" w:color="auto" w:fill="auto"/>
        <w:spacing w:line="302" w:lineRule="exact"/>
        <w:ind w:firstLine="360"/>
        <w:jc w:val="both"/>
        <w:sectPr w:rsidR="0034043A" w:rsidSect="0034043A">
          <w:type w:val="continuous"/>
          <w:pgSz w:w="11909" w:h="16834"/>
          <w:pgMar w:top="709" w:right="1037" w:bottom="1044" w:left="1128" w:header="0" w:footer="3" w:gutter="0"/>
          <w:cols w:space="720"/>
          <w:noEndnote/>
          <w:docGrid w:linePitch="360"/>
        </w:sectPr>
      </w:pPr>
    </w:p>
    <w:p w:rsidR="00D76D7C" w:rsidRPr="0034043A" w:rsidRDefault="00D76D7C" w:rsidP="0034043A">
      <w:pPr>
        <w:pStyle w:val="21"/>
        <w:shd w:val="clear" w:color="auto" w:fill="auto"/>
        <w:spacing w:line="260" w:lineRule="exact"/>
        <w:jc w:val="both"/>
        <w:rPr>
          <w:lang w:val="en-US"/>
        </w:rPr>
      </w:pPr>
      <w:bookmarkStart w:id="0" w:name="_GoBack"/>
      <w:bookmarkEnd w:id="0"/>
    </w:p>
    <w:sectPr w:rsidR="00D76D7C" w:rsidRPr="0034043A">
      <w:type w:val="continuous"/>
      <w:pgSz w:w="11909" w:h="16834"/>
      <w:pgMar w:top="1863" w:right="7675" w:bottom="1863" w:left="11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583" w:rsidRDefault="00494583">
      <w:r>
        <w:separator/>
      </w:r>
    </w:p>
  </w:endnote>
  <w:endnote w:type="continuationSeparator" w:id="0">
    <w:p w:rsidR="00494583" w:rsidRDefault="0049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583" w:rsidRDefault="00494583"/>
  </w:footnote>
  <w:footnote w:type="continuationSeparator" w:id="0">
    <w:p w:rsidR="00494583" w:rsidRDefault="0049458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38AB"/>
    <w:multiLevelType w:val="multilevel"/>
    <w:tmpl w:val="70B4226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E37F86"/>
    <w:multiLevelType w:val="multilevel"/>
    <w:tmpl w:val="039237E0"/>
    <w:lvl w:ilvl="0">
      <w:start w:val="2013"/>
      <w:numFmt w:val="decimal"/>
      <w:lvlText w:val="02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0F63C9"/>
    <w:multiLevelType w:val="multilevel"/>
    <w:tmpl w:val="D5FEFD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154C0B"/>
    <w:multiLevelType w:val="multilevel"/>
    <w:tmpl w:val="2DD8287E"/>
    <w:lvl w:ilvl="0">
      <w:start w:val="2013"/>
      <w:numFmt w:val="decimal"/>
      <w:lvlText w:val="16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D7C"/>
    <w:rsid w:val="001C26E9"/>
    <w:rsid w:val="0034043A"/>
    <w:rsid w:val="00494583"/>
    <w:rsid w:val="00D7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en-US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"/>
      <w:w w:val="66"/>
      <w:sz w:val="26"/>
      <w:szCs w:val="26"/>
      <w:u w:val="none"/>
    </w:rPr>
  </w:style>
  <w:style w:type="character" w:customStyle="1" w:styleId="11">
    <w:name w:val="Заголовок №1"/>
    <w:basedOn w:val="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10"/>
      <w:w w:val="66"/>
      <w:position w:val="0"/>
      <w:sz w:val="26"/>
      <w:szCs w:val="26"/>
      <w:u w:val="singl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Sylfaen135pt">
    <w:name w:val="Основной текст (5) + Sylfaen;13;5 pt;Курсив"/>
    <w:basedOn w:val="5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Подпись к картинке_"/>
    <w:basedOn w:val="a0"/>
    <w:link w:val="a7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"/>
      <w:w w:val="66"/>
      <w:sz w:val="26"/>
      <w:szCs w:val="26"/>
      <w:u w:val="none"/>
    </w:rPr>
  </w:style>
  <w:style w:type="character" w:customStyle="1" w:styleId="12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ind w:firstLine="3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58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pacing w:val="10"/>
      <w:w w:val="66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ind w:firstLine="70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Sylfaen" w:eastAsia="Sylfaen" w:hAnsi="Sylfaen" w:cs="Sylfaen"/>
      <w:spacing w:val="10"/>
      <w:w w:val="66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en-US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"/>
      <w:w w:val="66"/>
      <w:sz w:val="26"/>
      <w:szCs w:val="26"/>
      <w:u w:val="none"/>
    </w:rPr>
  </w:style>
  <w:style w:type="character" w:customStyle="1" w:styleId="11">
    <w:name w:val="Заголовок №1"/>
    <w:basedOn w:val="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10"/>
      <w:w w:val="66"/>
      <w:position w:val="0"/>
      <w:sz w:val="26"/>
      <w:szCs w:val="26"/>
      <w:u w:val="singl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Sylfaen135pt">
    <w:name w:val="Основной текст (5) + Sylfaen;13;5 pt;Курсив"/>
    <w:basedOn w:val="5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Подпись к картинке_"/>
    <w:basedOn w:val="a0"/>
    <w:link w:val="a7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"/>
      <w:w w:val="66"/>
      <w:sz w:val="26"/>
      <w:szCs w:val="26"/>
      <w:u w:val="none"/>
    </w:rPr>
  </w:style>
  <w:style w:type="character" w:customStyle="1" w:styleId="12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ind w:firstLine="3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58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pacing w:val="10"/>
      <w:w w:val="66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ind w:firstLine="70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Sylfaen" w:eastAsia="Sylfaen" w:hAnsi="Sylfaen" w:cs="Sylfaen"/>
      <w:spacing w:val="10"/>
      <w:w w:val="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Томской области</Company>
  <LinksUpToDate>false</LinksUpToDate>
  <CharactersWithSpaces>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</dc:creator>
  <cp:lastModifiedBy>Губина</cp:lastModifiedBy>
  <cp:revision>2</cp:revision>
  <dcterms:created xsi:type="dcterms:W3CDTF">2013-10-15T08:31:00Z</dcterms:created>
  <dcterms:modified xsi:type="dcterms:W3CDTF">2013-10-15T08:39:00Z</dcterms:modified>
</cp:coreProperties>
</file>